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EED75" w14:textId="77777777" w:rsidR="0095741D" w:rsidRDefault="0095741D" w:rsidP="0095741D">
      <w:pPr>
        <w:widowControl/>
        <w:shd w:val="clear" w:color="auto" w:fill="FFFFFF"/>
        <w:spacing w:line="560" w:lineRule="exact"/>
        <w:jc w:val="left"/>
        <w:outlineLvl w:val="2"/>
        <w:rPr>
          <w:rFonts w:ascii="黑体" w:eastAsia="黑体" w:hAnsi="黑体" w:cs="黑体" w:hint="eastAsia"/>
          <w:bCs/>
          <w:w w:val="95"/>
          <w:kern w:val="0"/>
          <w:sz w:val="32"/>
          <w:szCs w:val="32"/>
        </w:rPr>
      </w:pPr>
      <w:r>
        <w:rPr>
          <w:rFonts w:ascii="黑体" w:eastAsia="黑体" w:hAnsi="黑体" w:cs="黑体" w:hint="eastAsia"/>
          <w:bCs/>
          <w:w w:val="95"/>
          <w:kern w:val="0"/>
          <w:sz w:val="32"/>
          <w:szCs w:val="32"/>
        </w:rPr>
        <w:t>附件1</w:t>
      </w:r>
    </w:p>
    <w:p w14:paraId="07F88576" w14:textId="77777777" w:rsidR="0095741D" w:rsidRDefault="0095741D" w:rsidP="0095741D">
      <w:pPr>
        <w:spacing w:line="560" w:lineRule="exact"/>
        <w:jc w:val="center"/>
        <w:rPr>
          <w:rFonts w:ascii="方正小标宋简体" w:eastAsia="方正小标宋简体" w:hAnsi="方正小标宋简体" w:cs="方正小标宋简体" w:hint="eastAsia"/>
          <w:sz w:val="44"/>
          <w:szCs w:val="44"/>
        </w:rPr>
      </w:pPr>
    </w:p>
    <w:p w14:paraId="6424BF54" w14:textId="77777777" w:rsidR="0095741D" w:rsidRDefault="0095741D" w:rsidP="0095741D">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深圳市残疾人联合会2025年度网络安全</w:t>
      </w:r>
    </w:p>
    <w:p w14:paraId="70CCF3F2" w14:textId="77777777" w:rsidR="0095741D" w:rsidRDefault="0095741D" w:rsidP="0095741D">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及电脑日常运维服务项目采购需求</w:t>
      </w:r>
    </w:p>
    <w:p w14:paraId="01B7837A" w14:textId="77777777" w:rsidR="0095741D" w:rsidRDefault="0095741D" w:rsidP="0095741D">
      <w:pPr>
        <w:widowControl/>
        <w:shd w:val="clear" w:color="auto" w:fill="FFFFFF"/>
        <w:spacing w:line="560" w:lineRule="exact"/>
        <w:jc w:val="left"/>
        <w:rPr>
          <w:rFonts w:ascii="宋体" w:hAnsi="宋体" w:cs="宋体" w:hint="eastAsia"/>
          <w:b/>
          <w:w w:val="95"/>
          <w:kern w:val="0"/>
          <w:sz w:val="32"/>
          <w:szCs w:val="32"/>
        </w:rPr>
      </w:pPr>
    </w:p>
    <w:p w14:paraId="783B9CD5"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spacing w:val="-2"/>
          <w:w w:val="95"/>
          <w:sz w:val="32"/>
        </w:rPr>
      </w:pPr>
      <w:r>
        <w:rPr>
          <w:rFonts w:ascii="黑体" w:eastAsia="黑体" w:hAnsi="黑体" w:cs="黑体"/>
          <w:spacing w:val="-2"/>
          <w:w w:val="95"/>
          <w:sz w:val="32"/>
        </w:rPr>
        <w:t>一、采购项目概况</w:t>
      </w:r>
    </w:p>
    <w:p w14:paraId="21FC9C75"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shd w:val="clear" w:color="auto" w:fill="FDFDFE"/>
        </w:rPr>
      </w:pPr>
      <w:r>
        <w:rPr>
          <w:rFonts w:ascii="仿宋_GB2312" w:eastAsia="仿宋_GB2312" w:hAnsi="仿宋_GB2312" w:cs="仿宋_GB2312"/>
          <w:sz w:val="32"/>
          <w:szCs w:val="32"/>
          <w:shd w:val="clear" w:color="auto" w:fill="FDFDFE"/>
        </w:rPr>
        <w:t>根据《中华人民共和国网络安全法》及深圳市2024年网</w:t>
      </w:r>
      <w:r>
        <w:rPr>
          <w:rFonts w:ascii="仿宋_GB2312" w:eastAsia="仿宋_GB2312" w:hAnsi="仿宋_GB2312" w:cs="仿宋_GB2312"/>
          <w:w w:val="98"/>
          <w:sz w:val="32"/>
          <w:szCs w:val="32"/>
          <w:shd w:val="clear" w:color="auto" w:fill="FDFDFE"/>
        </w:rPr>
        <w:t>络安全重点任务的有关要求，为保障深圳市残疾人联合会（以下简称“市残联”）网络信息安全，确保市残联终端设备、网络设备的正常运行，切实营造安全稳定的信息化办公环境，市残联决定向有资质的机构购买2025年度网络安全及电脑日常运维服务。</w:t>
      </w:r>
    </w:p>
    <w:p w14:paraId="730AEF78"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spacing w:val="-2"/>
          <w:w w:val="95"/>
          <w:sz w:val="32"/>
        </w:rPr>
      </w:pPr>
      <w:r>
        <w:rPr>
          <w:rFonts w:ascii="黑体" w:eastAsia="黑体" w:hAnsi="黑体" w:cs="黑体"/>
          <w:spacing w:val="-2"/>
          <w:w w:val="95"/>
          <w:sz w:val="32"/>
        </w:rPr>
        <w:t>二、项目要求</w:t>
      </w:r>
    </w:p>
    <w:p w14:paraId="0591CCED"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楷体_GB2312" w:eastAsia="楷体_GB2312" w:hAnsi="楷体_GB2312" w:cs="楷体_GB2312"/>
          <w:sz w:val="32"/>
          <w:szCs w:val="32"/>
        </w:rPr>
      </w:pPr>
      <w:r>
        <w:rPr>
          <w:rFonts w:ascii="楷体_GB2312" w:eastAsia="楷体_GB2312" w:hAnsi="楷体_GB2312" w:cs="楷体_GB2312"/>
          <w:sz w:val="32"/>
          <w:szCs w:val="32"/>
        </w:rPr>
        <w:t>（一）2025年度信息安全维护服务</w:t>
      </w:r>
    </w:p>
    <w:p w14:paraId="456F5D2A"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1.服务内容</w:t>
      </w:r>
    </w:p>
    <w:p w14:paraId="5C55EF85"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实施2025年度内（2025年1月1日至2025年12月31日）的信息安全维护服务，配合市残联开展2025年度内的信息安全检查工作。</w:t>
      </w:r>
    </w:p>
    <w:p w14:paraId="67D2A44B"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包含网络运维服务、IT设备综合布线系统外包服务，两项服务中的IT终端(包括但不限于电脑、笔记本、服务器、防火墙、上网行为管理设备、准入设备、核心交换机)设备。</w:t>
      </w:r>
    </w:p>
    <w:p w14:paraId="16F5CF6E"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2.具体要求</w:t>
      </w:r>
    </w:p>
    <w:p w14:paraId="6F235DF0"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（1）信息安全自查</w:t>
      </w:r>
    </w:p>
    <w:p w14:paraId="3AD7BC1F"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协助市残联开展信息安全自查工作，形成自查总结报告和安全风险分析报告。自查总结报告应包括三部分：主报告、检查结果统计表及年度深圳市党政机关信息安全联合检查指标及评分标准（包括：安全管理组织、安全制度落实、安全防护措施落实、应急体系建设、安全教育培训、安全隐患排查及整改、安全自查及对下属单位检查）。</w:t>
      </w:r>
    </w:p>
    <w:p w14:paraId="0158B587"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（2）信息安全风险年度评估</w:t>
      </w:r>
    </w:p>
    <w:p w14:paraId="43389B5D"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对市残联信息系统安全状况进行检查，编写信息安全风险自评估报告，制定风险处置计划及配合落实整改。（包括：风险自评估计划及实施方案、资产识别、脆弱性识别、威胁风险分析、自评估报告编制）。</w:t>
      </w:r>
    </w:p>
    <w:p w14:paraId="6DAD15C7"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（3）完善信息安全制度</w:t>
      </w:r>
    </w:p>
    <w:p w14:paraId="2429542D"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深圳市信息安全联合检查要求，协助修订及落实各项信息安全管理制度和执行记录。（包括：安全管理组织、人员责任管理制度、网络安全、用户安全、计算机机房及服务器安全、设备和资产管理、安全审计、</w:t>
      </w:r>
      <w:proofErr w:type="gramStart"/>
      <w:r>
        <w:rPr>
          <w:rFonts w:ascii="仿宋_GB2312" w:eastAsia="仿宋_GB2312" w:hAnsi="华文仿宋" w:hint="eastAsia"/>
          <w:sz w:val="32"/>
          <w:szCs w:val="32"/>
        </w:rPr>
        <w:t>安全运</w:t>
      </w:r>
      <w:proofErr w:type="gramEnd"/>
      <w:r>
        <w:rPr>
          <w:rFonts w:ascii="仿宋_GB2312" w:eastAsia="仿宋_GB2312" w:hAnsi="华文仿宋" w:hint="eastAsia"/>
          <w:sz w:val="32"/>
          <w:szCs w:val="32"/>
        </w:rPr>
        <w:t>维、信息系统授权管理制度及执行记录等）。</w:t>
      </w:r>
    </w:p>
    <w:p w14:paraId="608F16F1"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（4）信息安全教育培训服务</w:t>
      </w:r>
    </w:p>
    <w:p w14:paraId="6C6FF829"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协助市残联制定年度信息安全专业技能人员和全员信息安全培训计划，编制信息安全培训演示课件，开展信息安全专业技能人员和全体工作人员的培训，并做好相关培训记录，邀请专家安排一次信息安全的讲座。</w:t>
      </w:r>
    </w:p>
    <w:p w14:paraId="1E902A38"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（5）整改反馈</w:t>
      </w:r>
    </w:p>
    <w:p w14:paraId="1BB05A6C"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协助市残联完成市信息安全联合检查组进行的现场检查，根据联合检查组印发的整改通知，落实整改建议，在2个月内完成整改并向联合检查组报告整改情况。</w:t>
      </w:r>
    </w:p>
    <w:p w14:paraId="57899DED"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（6）其他信息安全服务</w:t>
      </w:r>
    </w:p>
    <w:p w14:paraId="557C6BE2"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配合市残联完成政务外网终端保密检查、政务外网终端安全综合管理检查以及网站安全检测等内容。（包括：安全事件防范服务，应急响应机制的建设及应急演练的开展，安全事故报告，服务器、网站系统、政务外网终端每季度至少开展一次漏</w:t>
      </w:r>
      <w:proofErr w:type="gramStart"/>
      <w:r>
        <w:rPr>
          <w:rFonts w:ascii="仿宋_GB2312" w:eastAsia="仿宋_GB2312" w:hAnsi="华文仿宋" w:hint="eastAsia"/>
          <w:sz w:val="32"/>
          <w:szCs w:val="32"/>
        </w:rPr>
        <w:t>扫工作</w:t>
      </w:r>
      <w:proofErr w:type="gramEnd"/>
      <w:r>
        <w:rPr>
          <w:rFonts w:ascii="仿宋_GB2312" w:eastAsia="仿宋_GB2312" w:hAnsi="华文仿宋" w:hint="eastAsia"/>
          <w:sz w:val="32"/>
          <w:szCs w:val="32"/>
        </w:rPr>
        <w:t>并形成漏扫报告，市残联</w:t>
      </w:r>
      <w:proofErr w:type="gramStart"/>
      <w:r>
        <w:rPr>
          <w:rFonts w:ascii="仿宋_GB2312" w:eastAsia="仿宋_GB2312" w:hAnsi="华文仿宋" w:hint="eastAsia"/>
          <w:sz w:val="32"/>
          <w:szCs w:val="32"/>
        </w:rPr>
        <w:t>官网每年</w:t>
      </w:r>
      <w:proofErr w:type="gramEnd"/>
      <w:r>
        <w:rPr>
          <w:rFonts w:ascii="仿宋_GB2312" w:eastAsia="仿宋_GB2312" w:hAnsi="华文仿宋" w:hint="eastAsia"/>
          <w:sz w:val="32"/>
          <w:szCs w:val="32"/>
        </w:rPr>
        <w:t>至少开展一次渗透测试并形成渗透测试报告）。</w:t>
      </w:r>
    </w:p>
    <w:p w14:paraId="21438E53"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楷体_GB2312" w:eastAsia="楷体_GB2312" w:hAnsi="楷体_GB2312" w:cs="楷体_GB2312"/>
          <w:sz w:val="32"/>
          <w:szCs w:val="32"/>
        </w:rPr>
      </w:pPr>
      <w:r>
        <w:rPr>
          <w:rFonts w:ascii="楷体_GB2312" w:eastAsia="楷体_GB2312" w:hAnsi="楷体_GB2312" w:cs="楷体_GB2312"/>
          <w:sz w:val="32"/>
          <w:szCs w:val="32"/>
        </w:rPr>
        <w:t>（二）网络运维服务</w:t>
      </w:r>
    </w:p>
    <w:p w14:paraId="37B7DC19"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负责市残联机关的有线和无线网络、网络设备、机房设备的运行维护工作，</w:t>
      </w:r>
      <w:proofErr w:type="gramStart"/>
      <w:r>
        <w:rPr>
          <w:rFonts w:ascii="仿宋_GB2312" w:eastAsia="仿宋_GB2312" w:hAnsi="华文仿宋" w:hint="eastAsia"/>
          <w:sz w:val="32"/>
          <w:szCs w:val="32"/>
        </w:rPr>
        <w:t>保障市</w:t>
      </w:r>
      <w:proofErr w:type="gramEnd"/>
      <w:r>
        <w:rPr>
          <w:rFonts w:ascii="仿宋_GB2312" w:eastAsia="仿宋_GB2312" w:hAnsi="华文仿宋" w:hint="eastAsia"/>
          <w:sz w:val="32"/>
          <w:szCs w:val="32"/>
        </w:rPr>
        <w:t>残联信息系统的正常访问、运转及设备安全。做到安全漏洞起起报，信息安全周周检，安全管理制度月月查，确保市残联网络安全稳定运行，第一时间处理漏洞，杜绝网络安全隐患。</w:t>
      </w:r>
    </w:p>
    <w:p w14:paraId="23836BAC"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楷体_GB2312" w:eastAsia="楷体_GB2312" w:hAnsi="楷体_GB2312" w:cs="楷体_GB2312"/>
          <w:sz w:val="32"/>
          <w:szCs w:val="32"/>
        </w:rPr>
      </w:pPr>
      <w:r>
        <w:rPr>
          <w:rFonts w:ascii="楷体_GB2312" w:eastAsia="楷体_GB2312" w:hAnsi="楷体_GB2312" w:cs="楷体_GB2312"/>
          <w:sz w:val="32"/>
          <w:szCs w:val="32"/>
        </w:rPr>
        <w:t>（三）IT设备综合布线系统外包服务</w:t>
      </w:r>
    </w:p>
    <w:p w14:paraId="03C66EFE"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负责市残联的电脑、打印机、复印机、电话、网线、网络和电话端口、会议设备的运行维护龚总，保障IT终端设备的正常运行，终端设备资产清查、实名登记、落实终端安全，每周排查僵尸病毒、木马病毒等影响网络安全的隐患，第一时间报告及整改相关风险。</w:t>
      </w:r>
    </w:p>
    <w:p w14:paraId="6E9CC104"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1.硬件服务范围</w:t>
      </w:r>
    </w:p>
    <w:p w14:paraId="0EA59FE1"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市残联机关（地址为罗湖区笋岗东路3012号中民时代广场B座12楼）的全部台式电脑、笔记本电脑、打印机、复印机、传真机、会议室设备、电话、有线网络端口(布线)。</w:t>
      </w:r>
    </w:p>
    <w:p w14:paraId="02F34419"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2.终端系统运维服务内容</w:t>
      </w:r>
    </w:p>
    <w:p w14:paraId="49881FE4" w14:textId="77777777" w:rsidR="0095741D" w:rsidRDefault="0095741D" w:rsidP="0095741D">
      <w:pPr>
        <w:pStyle w:val="a0"/>
        <w:spacing w:after="0"/>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94"/>
        <w:gridCol w:w="6143"/>
      </w:tblGrid>
      <w:tr w:rsidR="0095741D" w14:paraId="7DBD4AA4" w14:textId="77777777" w:rsidTr="000A4D63">
        <w:trPr>
          <w:trHeight w:val="60"/>
          <w:jc w:val="center"/>
        </w:trPr>
        <w:tc>
          <w:tcPr>
            <w:tcW w:w="3072" w:type="dxa"/>
            <w:gridSpan w:val="2"/>
            <w:shd w:val="clear" w:color="000000" w:fill="CFCDCD" w:themeFill="background2" w:themeFillShade="E5"/>
            <w:vAlign w:val="center"/>
          </w:tcPr>
          <w:p w14:paraId="063C3923" w14:textId="77777777" w:rsidR="0095741D" w:rsidRDefault="0095741D" w:rsidP="000A4D63">
            <w:pPr>
              <w:widowControl/>
              <w:spacing w:line="440" w:lineRule="exact"/>
              <w:jc w:val="left"/>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服务需求内容</w:t>
            </w:r>
          </w:p>
        </w:tc>
        <w:tc>
          <w:tcPr>
            <w:tcW w:w="6143" w:type="dxa"/>
            <w:shd w:val="clear" w:color="000000" w:fill="CFCDCD" w:themeFill="background2" w:themeFillShade="E5"/>
            <w:vAlign w:val="center"/>
          </w:tcPr>
          <w:p w14:paraId="4F68ACE2" w14:textId="77777777" w:rsidR="0095741D" w:rsidRDefault="0095741D" w:rsidP="000A4D63">
            <w:pPr>
              <w:widowControl/>
              <w:spacing w:line="440" w:lineRule="exact"/>
              <w:jc w:val="center"/>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说明</w:t>
            </w:r>
          </w:p>
        </w:tc>
      </w:tr>
      <w:tr w:rsidR="0095741D" w14:paraId="3CF70026" w14:textId="77777777" w:rsidTr="000A4D63">
        <w:trPr>
          <w:trHeight w:val="317"/>
          <w:jc w:val="center"/>
        </w:trPr>
        <w:tc>
          <w:tcPr>
            <w:tcW w:w="878" w:type="dxa"/>
            <w:vMerge w:val="restart"/>
            <w:shd w:val="clear" w:color="000000" w:fill="FFFFFF"/>
            <w:vAlign w:val="center"/>
          </w:tcPr>
          <w:p w14:paraId="61E56F09"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终端系统运维服务</w:t>
            </w:r>
          </w:p>
        </w:tc>
        <w:tc>
          <w:tcPr>
            <w:tcW w:w="2194" w:type="dxa"/>
            <w:vMerge w:val="restart"/>
            <w:shd w:val="clear" w:color="000000" w:fill="FFFFFF"/>
            <w:vAlign w:val="center"/>
          </w:tcPr>
          <w:p w14:paraId="39E1970B" w14:textId="77777777" w:rsidR="0095741D" w:rsidRDefault="0095741D" w:rsidP="0095741D">
            <w:pPr>
              <w:widowControl/>
              <w:numPr>
                <w:ilvl w:val="0"/>
                <w:numId w:val="1"/>
              </w:numPr>
              <w:tabs>
                <w:tab w:val="left" w:pos="371"/>
              </w:tabs>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普通终端系统维护</w:t>
            </w:r>
          </w:p>
        </w:tc>
        <w:tc>
          <w:tcPr>
            <w:tcW w:w="6143" w:type="dxa"/>
            <w:shd w:val="clear" w:color="000000" w:fill="FFFFFF"/>
            <w:vAlign w:val="center"/>
          </w:tcPr>
          <w:p w14:paraId="1E6C549E"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终端系统和常用办公软件的安装、故障诊断和排除，并向用户</w:t>
            </w:r>
            <w:proofErr w:type="gramStart"/>
            <w:r>
              <w:rPr>
                <w:rFonts w:ascii="仿宋_GB2312" w:eastAsia="仿宋_GB2312" w:hAnsi="仿宋_GB2312" w:cs="仿宋_GB2312" w:hint="eastAsia"/>
                <w:kern w:val="0"/>
                <w:sz w:val="20"/>
                <w:szCs w:val="20"/>
              </w:rPr>
              <w:t>作出</w:t>
            </w:r>
            <w:proofErr w:type="gramEnd"/>
            <w:r>
              <w:rPr>
                <w:rFonts w:ascii="仿宋_GB2312" w:eastAsia="仿宋_GB2312" w:hAnsi="仿宋_GB2312" w:cs="仿宋_GB2312" w:hint="eastAsia"/>
                <w:kern w:val="0"/>
                <w:sz w:val="20"/>
                <w:szCs w:val="20"/>
              </w:rPr>
              <w:t>相关解释和介绍；</w:t>
            </w:r>
          </w:p>
        </w:tc>
      </w:tr>
      <w:tr w:rsidR="0095741D" w14:paraId="34B063C2" w14:textId="77777777" w:rsidTr="000A4D63">
        <w:trPr>
          <w:trHeight w:val="351"/>
          <w:jc w:val="center"/>
        </w:trPr>
        <w:tc>
          <w:tcPr>
            <w:tcW w:w="878" w:type="dxa"/>
            <w:vMerge/>
            <w:shd w:val="clear" w:color="auto" w:fill="auto"/>
            <w:vAlign w:val="center"/>
          </w:tcPr>
          <w:p w14:paraId="6ACD87F8"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2194" w:type="dxa"/>
            <w:vMerge/>
            <w:shd w:val="clear" w:color="auto" w:fill="auto"/>
            <w:vAlign w:val="center"/>
          </w:tcPr>
          <w:p w14:paraId="69E630F3"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p>
        </w:tc>
        <w:tc>
          <w:tcPr>
            <w:tcW w:w="6143" w:type="dxa"/>
            <w:shd w:val="clear" w:color="000000" w:fill="FFFFFF"/>
            <w:vAlign w:val="center"/>
          </w:tcPr>
          <w:p w14:paraId="3EF0BDDC"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终端及外设的基础使用设置、故障诊断和排除</w:t>
            </w:r>
          </w:p>
        </w:tc>
      </w:tr>
      <w:tr w:rsidR="0095741D" w14:paraId="34D0765C" w14:textId="77777777" w:rsidTr="000A4D63">
        <w:trPr>
          <w:trHeight w:val="351"/>
          <w:jc w:val="center"/>
        </w:trPr>
        <w:tc>
          <w:tcPr>
            <w:tcW w:w="878" w:type="dxa"/>
            <w:vMerge/>
            <w:shd w:val="clear" w:color="auto" w:fill="auto"/>
            <w:vAlign w:val="center"/>
          </w:tcPr>
          <w:p w14:paraId="6DEFE436"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2194" w:type="dxa"/>
            <w:shd w:val="clear" w:color="000000" w:fill="FFFFFF"/>
            <w:vAlign w:val="center"/>
          </w:tcPr>
          <w:p w14:paraId="2712EA8C" w14:textId="77777777" w:rsidR="0095741D" w:rsidRDefault="0095741D" w:rsidP="0095741D">
            <w:pPr>
              <w:widowControl/>
              <w:numPr>
                <w:ilvl w:val="0"/>
                <w:numId w:val="1"/>
              </w:numPr>
              <w:tabs>
                <w:tab w:val="left" w:pos="371"/>
              </w:tabs>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终端维护的知识积累及管理</w:t>
            </w:r>
          </w:p>
        </w:tc>
        <w:tc>
          <w:tcPr>
            <w:tcW w:w="6143" w:type="dxa"/>
            <w:shd w:val="clear" w:color="000000" w:fill="FFFFFF"/>
            <w:vAlign w:val="center"/>
          </w:tcPr>
          <w:p w14:paraId="1BBCCB50"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对于常见故障进行总结、给出解决办法和方案；</w:t>
            </w:r>
          </w:p>
        </w:tc>
      </w:tr>
      <w:tr w:rsidR="0095741D" w14:paraId="1CCC72F1" w14:textId="77777777" w:rsidTr="000A4D63">
        <w:trPr>
          <w:trHeight w:val="147"/>
          <w:jc w:val="center"/>
        </w:trPr>
        <w:tc>
          <w:tcPr>
            <w:tcW w:w="878" w:type="dxa"/>
            <w:vMerge/>
            <w:shd w:val="clear" w:color="auto" w:fill="auto"/>
            <w:vAlign w:val="center"/>
          </w:tcPr>
          <w:p w14:paraId="3C596709"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2194" w:type="dxa"/>
            <w:shd w:val="clear" w:color="000000" w:fill="FFFFFF"/>
            <w:vAlign w:val="center"/>
          </w:tcPr>
          <w:p w14:paraId="4CD2A646" w14:textId="77777777" w:rsidR="0095741D" w:rsidRDefault="0095741D" w:rsidP="0095741D">
            <w:pPr>
              <w:widowControl/>
              <w:numPr>
                <w:ilvl w:val="0"/>
                <w:numId w:val="1"/>
              </w:numPr>
              <w:tabs>
                <w:tab w:val="left" w:pos="371"/>
              </w:tabs>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突发事件处理</w:t>
            </w:r>
          </w:p>
        </w:tc>
        <w:tc>
          <w:tcPr>
            <w:tcW w:w="6143" w:type="dxa"/>
            <w:shd w:val="clear" w:color="000000" w:fill="FFFFFF"/>
            <w:vAlign w:val="center"/>
          </w:tcPr>
          <w:p w14:paraId="4841BBBF"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对于非常规的突发故障如影响5人以上用户突发事件提供反馈和现场支持服务。</w:t>
            </w:r>
          </w:p>
        </w:tc>
      </w:tr>
    </w:tbl>
    <w:p w14:paraId="6A62583F" w14:textId="77777777" w:rsidR="0095741D" w:rsidRDefault="0095741D" w:rsidP="0095741D">
      <w:pPr>
        <w:widowControl/>
        <w:spacing w:line="560" w:lineRule="exact"/>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3.终端硬件运维服务内容</w:t>
      </w:r>
    </w:p>
    <w:tbl>
      <w:tblPr>
        <w:tblW w:w="9215" w:type="dxa"/>
        <w:jc w:val="center"/>
        <w:tblLayout w:type="fixed"/>
        <w:tblLook w:val="04A0" w:firstRow="1" w:lastRow="0" w:firstColumn="1" w:lastColumn="0" w:noHBand="0" w:noVBand="1"/>
      </w:tblPr>
      <w:tblGrid>
        <w:gridCol w:w="900"/>
        <w:gridCol w:w="2188"/>
        <w:gridCol w:w="6127"/>
      </w:tblGrid>
      <w:tr w:rsidR="0095741D" w14:paraId="293D09D1" w14:textId="77777777" w:rsidTr="000A4D63">
        <w:trPr>
          <w:trHeight w:val="50"/>
          <w:jc w:val="center"/>
        </w:trPr>
        <w:tc>
          <w:tcPr>
            <w:tcW w:w="3088" w:type="dxa"/>
            <w:gridSpan w:val="2"/>
            <w:tcBorders>
              <w:top w:val="single" w:sz="8" w:space="0" w:color="auto"/>
              <w:left w:val="single" w:sz="8" w:space="0" w:color="auto"/>
              <w:bottom w:val="single" w:sz="8" w:space="0" w:color="auto"/>
              <w:right w:val="nil"/>
            </w:tcBorders>
            <w:shd w:val="clear" w:color="auto" w:fill="AEAAAA" w:themeFill="background2" w:themeFillShade="BF"/>
            <w:vAlign w:val="center"/>
          </w:tcPr>
          <w:p w14:paraId="59E05AC7" w14:textId="77777777" w:rsidR="0095741D" w:rsidRDefault="0095741D" w:rsidP="000A4D63">
            <w:pPr>
              <w:widowControl/>
              <w:spacing w:line="440" w:lineRule="exact"/>
              <w:jc w:val="left"/>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服务需求内容</w:t>
            </w:r>
          </w:p>
        </w:tc>
        <w:tc>
          <w:tcPr>
            <w:tcW w:w="6127"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0761BB" w14:textId="77777777" w:rsidR="0095741D" w:rsidRDefault="0095741D" w:rsidP="000A4D63">
            <w:pPr>
              <w:widowControl/>
              <w:spacing w:line="440" w:lineRule="exact"/>
              <w:jc w:val="center"/>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说明</w:t>
            </w:r>
          </w:p>
        </w:tc>
      </w:tr>
      <w:tr w:rsidR="0095741D" w14:paraId="60979DFD" w14:textId="77777777" w:rsidTr="000A4D63">
        <w:trPr>
          <w:trHeight w:val="197"/>
          <w:jc w:val="center"/>
        </w:trPr>
        <w:tc>
          <w:tcPr>
            <w:tcW w:w="900" w:type="dxa"/>
            <w:vMerge w:val="restart"/>
            <w:tcBorders>
              <w:top w:val="nil"/>
              <w:left w:val="single" w:sz="8" w:space="0" w:color="auto"/>
              <w:right w:val="single" w:sz="8" w:space="0" w:color="auto"/>
            </w:tcBorders>
            <w:shd w:val="clear" w:color="auto" w:fill="auto"/>
            <w:vAlign w:val="center"/>
          </w:tcPr>
          <w:p w14:paraId="25AE6A53"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终端硬件运维服务</w:t>
            </w:r>
          </w:p>
        </w:tc>
        <w:tc>
          <w:tcPr>
            <w:tcW w:w="2188" w:type="dxa"/>
            <w:vMerge w:val="restart"/>
            <w:tcBorders>
              <w:top w:val="nil"/>
              <w:left w:val="single" w:sz="8" w:space="0" w:color="auto"/>
              <w:right w:val="single" w:sz="8" w:space="0" w:color="auto"/>
            </w:tcBorders>
            <w:shd w:val="clear" w:color="auto" w:fill="auto"/>
            <w:vAlign w:val="center"/>
          </w:tcPr>
          <w:p w14:paraId="2F31AC00"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sz w:val="20"/>
                <w:szCs w:val="20"/>
              </w:rPr>
              <w:t>台式电脑、笔记本电脑硬件维护</w:t>
            </w:r>
            <w:r>
              <w:rPr>
                <w:rFonts w:ascii="仿宋_GB2312" w:eastAsia="仿宋_GB2312" w:hAnsi="仿宋_GB2312" w:cs="仿宋_GB2312" w:hint="eastAsia"/>
                <w:kern w:val="0"/>
                <w:sz w:val="20"/>
                <w:szCs w:val="20"/>
              </w:rPr>
              <w:t>服务</w:t>
            </w:r>
          </w:p>
        </w:tc>
        <w:tc>
          <w:tcPr>
            <w:tcW w:w="6127" w:type="dxa"/>
            <w:tcBorders>
              <w:top w:val="nil"/>
              <w:left w:val="nil"/>
              <w:bottom w:val="single" w:sz="8" w:space="0" w:color="auto"/>
              <w:right w:val="single" w:sz="8" w:space="0" w:color="auto"/>
            </w:tcBorders>
            <w:shd w:val="clear" w:color="000000" w:fill="FFFFFF"/>
            <w:vAlign w:val="center"/>
          </w:tcPr>
          <w:p w14:paraId="1FA0382B"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1.1 硬件、线路故障的诊断和排除；</w:t>
            </w:r>
          </w:p>
        </w:tc>
      </w:tr>
      <w:tr w:rsidR="0095741D" w14:paraId="54C7D22C" w14:textId="77777777" w:rsidTr="000A4D63">
        <w:trPr>
          <w:trHeight w:val="60"/>
          <w:jc w:val="center"/>
        </w:trPr>
        <w:tc>
          <w:tcPr>
            <w:tcW w:w="900" w:type="dxa"/>
            <w:vMerge/>
            <w:tcBorders>
              <w:left w:val="single" w:sz="8" w:space="0" w:color="auto"/>
              <w:right w:val="single" w:sz="8" w:space="0" w:color="auto"/>
            </w:tcBorders>
            <w:shd w:val="clear" w:color="auto" w:fill="auto"/>
            <w:vAlign w:val="center"/>
          </w:tcPr>
          <w:p w14:paraId="3394E0FB"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2188" w:type="dxa"/>
            <w:vMerge/>
            <w:tcBorders>
              <w:left w:val="single" w:sz="8" w:space="0" w:color="auto"/>
              <w:right w:val="single" w:sz="8" w:space="0" w:color="auto"/>
            </w:tcBorders>
            <w:shd w:val="clear" w:color="auto" w:fill="auto"/>
            <w:vAlign w:val="center"/>
          </w:tcPr>
          <w:p w14:paraId="7187D080"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6127" w:type="dxa"/>
            <w:tcBorders>
              <w:top w:val="nil"/>
              <w:left w:val="nil"/>
              <w:bottom w:val="single" w:sz="8" w:space="0" w:color="auto"/>
              <w:right w:val="single" w:sz="8" w:space="0" w:color="auto"/>
            </w:tcBorders>
            <w:shd w:val="clear" w:color="000000" w:fill="FFFFFF"/>
            <w:vAlign w:val="center"/>
          </w:tcPr>
          <w:p w14:paraId="0256BE1B"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1.2 硬件故障的备件更换和恢复（不涉及配件及设备供应，仅提供技术及人工服务）；</w:t>
            </w:r>
          </w:p>
        </w:tc>
      </w:tr>
      <w:tr w:rsidR="0095741D" w14:paraId="0FEE6E33" w14:textId="77777777" w:rsidTr="000A4D63">
        <w:trPr>
          <w:trHeight w:val="60"/>
          <w:jc w:val="center"/>
        </w:trPr>
        <w:tc>
          <w:tcPr>
            <w:tcW w:w="900" w:type="dxa"/>
            <w:vMerge/>
            <w:tcBorders>
              <w:left w:val="single" w:sz="8" w:space="0" w:color="auto"/>
              <w:bottom w:val="single" w:sz="4" w:space="0" w:color="auto"/>
              <w:right w:val="single" w:sz="8" w:space="0" w:color="auto"/>
            </w:tcBorders>
            <w:shd w:val="clear" w:color="auto" w:fill="auto"/>
            <w:vAlign w:val="center"/>
          </w:tcPr>
          <w:p w14:paraId="10D6BCF4"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2188" w:type="dxa"/>
            <w:vMerge/>
            <w:tcBorders>
              <w:left w:val="single" w:sz="8" w:space="0" w:color="auto"/>
              <w:bottom w:val="single" w:sz="4" w:space="0" w:color="auto"/>
              <w:right w:val="single" w:sz="8" w:space="0" w:color="auto"/>
            </w:tcBorders>
            <w:shd w:val="clear" w:color="auto" w:fill="auto"/>
            <w:vAlign w:val="center"/>
          </w:tcPr>
          <w:p w14:paraId="191B9464"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6127" w:type="dxa"/>
            <w:tcBorders>
              <w:top w:val="nil"/>
              <w:left w:val="nil"/>
              <w:bottom w:val="single" w:sz="4" w:space="0" w:color="auto"/>
              <w:right w:val="single" w:sz="8" w:space="0" w:color="auto"/>
            </w:tcBorders>
            <w:shd w:val="clear" w:color="000000" w:fill="FFFFFF"/>
            <w:vAlign w:val="center"/>
          </w:tcPr>
          <w:p w14:paraId="52187933" w14:textId="77777777" w:rsidR="0095741D" w:rsidRDefault="0095741D" w:rsidP="000A4D63">
            <w:pPr>
              <w:widowControl/>
              <w:spacing w:line="40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1.3 保内硬件维修的流程跟进（与厂商联系、记录和处理过程跟踪，直至问题解决）；</w:t>
            </w:r>
          </w:p>
        </w:tc>
      </w:tr>
    </w:tbl>
    <w:p w14:paraId="490657BE" w14:textId="77777777" w:rsidR="0095741D" w:rsidRDefault="0095741D" w:rsidP="0095741D">
      <w:pPr>
        <w:widowControl/>
        <w:spacing w:line="560" w:lineRule="exact"/>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外设类运维</w:t>
      </w:r>
      <w:proofErr w:type="gramEnd"/>
      <w:r>
        <w:rPr>
          <w:rFonts w:ascii="仿宋_GB2312" w:eastAsia="仿宋_GB2312" w:hAnsi="华文仿宋" w:hint="eastAsia"/>
          <w:sz w:val="32"/>
          <w:szCs w:val="32"/>
        </w:rPr>
        <w:t>服务内容</w:t>
      </w:r>
    </w:p>
    <w:tbl>
      <w:tblPr>
        <w:tblW w:w="9215" w:type="dxa"/>
        <w:jc w:val="center"/>
        <w:tblLayout w:type="fixed"/>
        <w:tblLook w:val="04A0" w:firstRow="1" w:lastRow="0" w:firstColumn="1" w:lastColumn="0" w:noHBand="0" w:noVBand="1"/>
      </w:tblPr>
      <w:tblGrid>
        <w:gridCol w:w="900"/>
        <w:gridCol w:w="2188"/>
        <w:gridCol w:w="6127"/>
      </w:tblGrid>
      <w:tr w:rsidR="0095741D" w14:paraId="33D143FB" w14:textId="77777777" w:rsidTr="000A4D63">
        <w:trPr>
          <w:trHeight w:val="570"/>
          <w:jc w:val="center"/>
        </w:trPr>
        <w:tc>
          <w:tcPr>
            <w:tcW w:w="3088" w:type="dxa"/>
            <w:gridSpan w:val="2"/>
            <w:tcBorders>
              <w:top w:val="single" w:sz="8" w:space="0" w:color="auto"/>
              <w:left w:val="single" w:sz="8" w:space="0" w:color="auto"/>
              <w:bottom w:val="single" w:sz="4" w:space="0" w:color="auto"/>
              <w:right w:val="nil"/>
            </w:tcBorders>
            <w:shd w:val="clear" w:color="000000" w:fill="CFCDCD" w:themeFill="background2" w:themeFillShade="E5"/>
            <w:vAlign w:val="center"/>
          </w:tcPr>
          <w:p w14:paraId="1360FD3A" w14:textId="77777777" w:rsidR="0095741D" w:rsidRDefault="0095741D" w:rsidP="000A4D63">
            <w:pPr>
              <w:widowControl/>
              <w:spacing w:line="440" w:lineRule="exact"/>
              <w:jc w:val="left"/>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服务需求内容</w:t>
            </w:r>
            <w:r>
              <w:rPr>
                <w:rFonts w:ascii="仿宋_GB2312" w:eastAsia="仿宋_GB2312" w:hAnsi="仿宋_GB2312" w:cs="仿宋_GB2312" w:hint="eastAsia"/>
                <w:kern w:val="0"/>
                <w:sz w:val="20"/>
                <w:szCs w:val="20"/>
              </w:rPr>
              <w:t>（含打印、复印、扫描、会议设备等）</w:t>
            </w:r>
          </w:p>
        </w:tc>
        <w:tc>
          <w:tcPr>
            <w:tcW w:w="6127" w:type="dxa"/>
            <w:tcBorders>
              <w:top w:val="single" w:sz="8" w:space="0" w:color="auto"/>
              <w:left w:val="single" w:sz="8" w:space="0" w:color="auto"/>
              <w:bottom w:val="single" w:sz="8" w:space="0" w:color="auto"/>
              <w:right w:val="single" w:sz="8" w:space="0" w:color="auto"/>
            </w:tcBorders>
            <w:shd w:val="clear" w:color="000000" w:fill="CFCDCD" w:themeFill="background2" w:themeFillShade="E5"/>
            <w:vAlign w:val="center"/>
          </w:tcPr>
          <w:p w14:paraId="0ADF4E73" w14:textId="77777777" w:rsidR="0095741D" w:rsidRDefault="0095741D" w:rsidP="000A4D63">
            <w:pPr>
              <w:widowControl/>
              <w:spacing w:line="440" w:lineRule="exact"/>
              <w:jc w:val="center"/>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说明</w:t>
            </w:r>
          </w:p>
        </w:tc>
      </w:tr>
      <w:tr w:rsidR="0095741D" w14:paraId="49585CC5" w14:textId="77777777" w:rsidTr="000A4D63">
        <w:trPr>
          <w:trHeight w:val="60"/>
          <w:jc w:val="center"/>
        </w:trPr>
        <w:tc>
          <w:tcPr>
            <w:tcW w:w="900"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7E29C27B"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外设</w:t>
            </w:r>
          </w:p>
          <w:p w14:paraId="2316E1C5"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运维</w:t>
            </w:r>
          </w:p>
        </w:tc>
        <w:tc>
          <w:tcPr>
            <w:tcW w:w="2188"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FE00A6C"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外设故障诊断、软件维护、硬件运维</w:t>
            </w:r>
          </w:p>
        </w:tc>
        <w:tc>
          <w:tcPr>
            <w:tcW w:w="6127" w:type="dxa"/>
            <w:tcBorders>
              <w:top w:val="nil"/>
              <w:left w:val="single" w:sz="4" w:space="0" w:color="auto"/>
              <w:bottom w:val="single" w:sz="8" w:space="0" w:color="auto"/>
              <w:right w:val="single" w:sz="8" w:space="0" w:color="auto"/>
            </w:tcBorders>
            <w:shd w:val="clear" w:color="000000" w:fill="FFFFFF"/>
            <w:vAlign w:val="center"/>
          </w:tcPr>
          <w:p w14:paraId="10FCB27F"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1.1 常见外设故障诊断和排除，驱动软件维护；</w:t>
            </w:r>
          </w:p>
        </w:tc>
      </w:tr>
      <w:tr w:rsidR="0095741D" w14:paraId="3E5E2955" w14:textId="77777777" w:rsidTr="000A4D63">
        <w:trPr>
          <w:trHeight w:val="60"/>
          <w:jc w:val="center"/>
        </w:trPr>
        <w:tc>
          <w:tcPr>
            <w:tcW w:w="90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5DEBD8F7"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218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BEF6F0C"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6127" w:type="dxa"/>
            <w:tcBorders>
              <w:top w:val="nil"/>
              <w:left w:val="single" w:sz="4" w:space="0" w:color="auto"/>
              <w:bottom w:val="nil"/>
              <w:right w:val="single" w:sz="8" w:space="0" w:color="auto"/>
            </w:tcBorders>
            <w:shd w:val="clear" w:color="000000" w:fill="FFFFFF"/>
            <w:vAlign w:val="center"/>
          </w:tcPr>
          <w:p w14:paraId="6B83E7BD"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1.2 保内外设(</w:t>
            </w:r>
            <w:r>
              <w:rPr>
                <w:rFonts w:ascii="仿宋_GB2312" w:eastAsia="仿宋_GB2312" w:hAnsi="仿宋_GB2312" w:cs="仿宋_GB2312" w:hint="eastAsia"/>
                <w:sz w:val="20"/>
                <w:szCs w:val="20"/>
              </w:rPr>
              <w:t>市</w:t>
            </w:r>
            <w:r>
              <w:rPr>
                <w:rFonts w:ascii="仿宋_GB2312" w:eastAsia="仿宋_GB2312" w:hAnsi="仿宋_GB2312" w:cs="仿宋_GB2312" w:hint="eastAsia"/>
                <w:kern w:val="0"/>
                <w:sz w:val="20"/>
                <w:szCs w:val="20"/>
              </w:rPr>
              <w:t>残联所有)硬件维修的流程跟进（厂商联系、记录和过程跟踪）；</w:t>
            </w:r>
          </w:p>
        </w:tc>
      </w:tr>
      <w:tr w:rsidR="0095741D" w14:paraId="436E8839" w14:textId="77777777" w:rsidTr="000A4D63">
        <w:trPr>
          <w:trHeight w:val="60"/>
          <w:jc w:val="center"/>
        </w:trPr>
        <w:tc>
          <w:tcPr>
            <w:tcW w:w="900"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D647C78"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2188"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307D239"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p>
        </w:tc>
        <w:tc>
          <w:tcPr>
            <w:tcW w:w="6127" w:type="dxa"/>
            <w:tcBorders>
              <w:top w:val="nil"/>
              <w:left w:val="single" w:sz="4" w:space="0" w:color="auto"/>
              <w:bottom w:val="single" w:sz="8" w:space="0" w:color="auto"/>
              <w:right w:val="single" w:sz="8" w:space="0" w:color="auto"/>
            </w:tcBorders>
            <w:shd w:val="clear" w:color="000000" w:fill="FFFFFF"/>
            <w:vAlign w:val="center"/>
          </w:tcPr>
          <w:p w14:paraId="6E18AB3F" w14:textId="77777777" w:rsidR="0095741D" w:rsidRDefault="0095741D" w:rsidP="000A4D63">
            <w:pPr>
              <w:widowControl/>
              <w:spacing w:line="440" w:lineRule="exact"/>
              <w:jc w:val="left"/>
              <w:rPr>
                <w:rFonts w:ascii="仿宋_GB2312" w:eastAsia="仿宋_GB2312" w:hAnsi="仿宋_GB2312" w:cs="仿宋_GB2312" w:hint="eastAsia"/>
                <w:kern w:val="0"/>
                <w:sz w:val="20"/>
                <w:szCs w:val="20"/>
              </w:rPr>
            </w:pPr>
            <w:r>
              <w:rPr>
                <w:rFonts w:ascii="仿宋_GB2312" w:eastAsia="仿宋_GB2312" w:hAnsi="仿宋_GB2312" w:cs="仿宋_GB2312" w:hint="eastAsia"/>
                <w:kern w:val="0"/>
                <w:sz w:val="20"/>
                <w:szCs w:val="20"/>
              </w:rPr>
              <w:t>1.3 外设耗材更换（硒鼓、墨盒，粉盒、废粉盒、色带类。）</w:t>
            </w:r>
          </w:p>
        </w:tc>
      </w:tr>
    </w:tbl>
    <w:p w14:paraId="026CC1C3"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楷体_GB2312" w:eastAsia="楷体_GB2312" w:hAnsi="楷体_GB2312" w:cs="楷体_GB2312"/>
          <w:sz w:val="32"/>
          <w:szCs w:val="32"/>
        </w:rPr>
      </w:pPr>
      <w:r>
        <w:rPr>
          <w:rFonts w:ascii="楷体_GB2312" w:eastAsia="楷体_GB2312" w:hAnsi="楷体_GB2312" w:cs="楷体_GB2312"/>
          <w:sz w:val="32"/>
          <w:szCs w:val="32"/>
        </w:rPr>
        <w:t>（四）网络管理设备增值服务</w:t>
      </w:r>
    </w:p>
    <w:p w14:paraId="2151FB28"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华文仿宋"/>
          <w:sz w:val="32"/>
          <w:szCs w:val="32"/>
        </w:rPr>
      </w:pPr>
      <w:r>
        <w:rPr>
          <w:rFonts w:ascii="仿宋_GB2312" w:eastAsia="仿宋_GB2312" w:hAnsi="华文仿宋"/>
          <w:sz w:val="32"/>
          <w:szCs w:val="32"/>
        </w:rPr>
        <w:t>对市残联系统网络安全管理设备提供升级、增值服务，</w:t>
      </w:r>
      <w:r>
        <w:rPr>
          <w:rFonts w:ascii="仿宋_GB2312" w:eastAsia="仿宋_GB2312" w:hAnsi="华文仿宋"/>
          <w:sz w:val="32"/>
          <w:szCs w:val="32"/>
        </w:rPr>
        <w:lastRenderedPageBreak/>
        <w:t>设备升级、增值服务期为一年，定期加固安全管理设备，监测网络流量、异常行为等，发挥市残联网络安全设备的主动性，对网络实施有效管理，</w:t>
      </w:r>
      <w:proofErr w:type="gramStart"/>
      <w:r>
        <w:rPr>
          <w:rFonts w:ascii="仿宋_GB2312" w:eastAsia="仿宋_GB2312" w:hAnsi="华文仿宋"/>
          <w:sz w:val="32"/>
          <w:szCs w:val="32"/>
        </w:rPr>
        <w:t>保障市</w:t>
      </w:r>
      <w:proofErr w:type="gramEnd"/>
      <w:r>
        <w:rPr>
          <w:rFonts w:ascii="仿宋_GB2312" w:eastAsia="仿宋_GB2312" w:hAnsi="华文仿宋"/>
          <w:sz w:val="32"/>
          <w:szCs w:val="32"/>
        </w:rPr>
        <w:t>残联网络安全稳定运行。</w:t>
      </w:r>
    </w:p>
    <w:p w14:paraId="611CF28A"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楷体_GB2312" w:eastAsia="楷体_GB2312" w:hAnsi="楷体_GB2312" w:cs="楷体_GB2312"/>
          <w:sz w:val="32"/>
          <w:szCs w:val="32"/>
        </w:rPr>
      </w:pPr>
      <w:r>
        <w:rPr>
          <w:rFonts w:ascii="楷体_GB2312" w:eastAsia="楷体_GB2312" w:hAnsi="楷体_GB2312" w:cs="楷体_GB2312"/>
          <w:sz w:val="32"/>
          <w:szCs w:val="32"/>
        </w:rPr>
        <w:t>（五）会务支持</w:t>
      </w:r>
    </w:p>
    <w:p w14:paraId="2E919424"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对市残联日常会议提供技术支持与设备保障，定期检查与维护会议设备，保障会议期间会议设备、网络、会议软件等设施的正常运行，确保市残联日常会议的顺利开展。</w:t>
      </w:r>
    </w:p>
    <w:p w14:paraId="21ECF429"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spacing w:val="-2"/>
          <w:w w:val="95"/>
          <w:sz w:val="32"/>
        </w:rPr>
      </w:pPr>
      <w:r>
        <w:rPr>
          <w:rFonts w:ascii="黑体" w:eastAsia="黑体" w:hAnsi="黑体" w:cs="黑体"/>
          <w:spacing w:val="-2"/>
          <w:w w:val="95"/>
          <w:sz w:val="32"/>
        </w:rPr>
        <w:t>三、项目管理和服务要求</w:t>
      </w:r>
    </w:p>
    <w:p w14:paraId="1A5F7C86"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华文仿宋"/>
          <w:sz w:val="32"/>
          <w:szCs w:val="32"/>
        </w:rPr>
      </w:pPr>
      <w:r>
        <w:rPr>
          <w:rFonts w:ascii="仿宋_GB2312" w:eastAsia="仿宋_GB2312" w:hAnsi="华文仿宋"/>
          <w:sz w:val="32"/>
          <w:szCs w:val="32"/>
        </w:rPr>
        <w:t>市残联网络安全及电脑日常运维服务项目要求派遣1名工作人员驻点市残联从事具体工作，驻点工作人员男女不限，须具备良好的计算机软硬件维护能力，有从事信息化相关工作经验，有信息与通信工程或计算机科学与技术等计算机类学士学位，或国家认证的技能资格证书；具备良好的职业道德，热爱本职工作、安心本职岗位，诚实守信，廉洁自律，客观公正，坚持准则，强化服务；能运用专业计算机和信息化技术，解决实际工作问题。同时，必须保守本单位有关工作秘密。</w:t>
      </w:r>
    </w:p>
    <w:p w14:paraId="5C38D9EC"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spacing w:val="-2"/>
          <w:w w:val="95"/>
          <w:sz w:val="32"/>
        </w:rPr>
      </w:pPr>
      <w:r>
        <w:rPr>
          <w:rFonts w:ascii="黑体" w:eastAsia="黑体" w:hAnsi="黑体" w:cs="黑体"/>
          <w:spacing w:val="-2"/>
          <w:w w:val="95"/>
          <w:sz w:val="32"/>
        </w:rPr>
        <w:t>四、供应商资格要求</w:t>
      </w:r>
    </w:p>
    <w:p w14:paraId="0C0D2A40" w14:textId="77777777" w:rsidR="0095741D" w:rsidRDefault="0095741D" w:rsidP="0095741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t>（一）</w:t>
      </w:r>
      <w:r>
        <w:rPr>
          <w:rFonts w:ascii="仿宋_GB2312" w:eastAsia="仿宋_GB2312" w:hAnsi="仿宋_GB2312" w:cs="仿宋_GB2312" w:hint="eastAsia"/>
          <w:sz w:val="32"/>
          <w:szCs w:val="32"/>
        </w:rPr>
        <w:t>独立法人提供营业执照扫描件或复印件；非法人组织则提供主管部门颁发或批准成立的证书或其他证明文件扫描件或复印件）；</w:t>
      </w:r>
    </w:p>
    <w:p w14:paraId="701A81DC" w14:textId="77777777" w:rsidR="0095741D" w:rsidRDefault="0095741D" w:rsidP="0095741D">
      <w:pPr>
        <w:pStyle w:val="a0"/>
        <w:ind w:firstLineChars="200" w:firstLine="640"/>
      </w:pPr>
      <w:r>
        <w:rPr>
          <w:rFonts w:ascii="仿宋_GB2312" w:eastAsia="仿宋_GB2312" w:hAnsi="仿宋" w:cs="仿宋" w:hint="eastAsia"/>
          <w:sz w:val="32"/>
          <w:szCs w:val="32"/>
        </w:rPr>
        <w:t>（二）投标人营业执照经营范围须包含信息、通信工程、软件开发等业务或能提供相关信息化、电子政务服务，具备</w:t>
      </w:r>
      <w:r>
        <w:rPr>
          <w:rFonts w:ascii="仿宋_GB2312" w:eastAsia="仿宋_GB2312" w:hAnsi="仿宋" w:cs="仿宋" w:hint="eastAsia"/>
          <w:sz w:val="32"/>
          <w:szCs w:val="32"/>
        </w:rPr>
        <w:lastRenderedPageBreak/>
        <w:t>履行本项目合同所必须的设备和技术能力；</w:t>
      </w:r>
    </w:p>
    <w:p w14:paraId="43F4BFFF" w14:textId="77777777" w:rsidR="0095741D" w:rsidRDefault="0095741D" w:rsidP="0095741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（三）投标单位必须具备有效期内的ITSS信息技术服务运行维护标准符合性证书（三级及以上）、ISO20000信息技术服务管理体系证书、ISO27001信息安全管理体系证书；</w:t>
      </w:r>
    </w:p>
    <w:p w14:paraId="1F7662D8" w14:textId="77777777" w:rsidR="0095741D" w:rsidRDefault="0095741D" w:rsidP="0095741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（四）投标人需提供法人代表身份证、</w:t>
      </w:r>
      <w:r>
        <w:rPr>
          <w:rFonts w:ascii="仿宋_GB2312" w:eastAsia="仿宋_GB2312" w:hAnsi="仿宋_GB2312" w:cs="仿宋_GB2312" w:hint="eastAsia"/>
          <w:sz w:val="32"/>
          <w:szCs w:val="32"/>
        </w:rPr>
        <w:t>法人授权委托证明书和被授权人身份证复印件</w:t>
      </w:r>
      <w:r>
        <w:rPr>
          <w:rFonts w:ascii="仿宋_GB2312" w:eastAsia="仿宋_GB2312" w:hAnsi="仿宋" w:cs="仿宋" w:hint="eastAsia"/>
          <w:sz w:val="32"/>
          <w:szCs w:val="32"/>
        </w:rPr>
        <w:t>并加盖公章；</w:t>
      </w:r>
    </w:p>
    <w:p w14:paraId="1BBABDB4" w14:textId="77777777" w:rsidR="0095741D" w:rsidRDefault="0095741D" w:rsidP="0095741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（五）近三年内（投标人成立不足三年的可从成立之日起算）无重大违法犯罪记录和不存在处于被禁止参与政府采购活动期限内情形的书面声明；</w:t>
      </w:r>
    </w:p>
    <w:p w14:paraId="660C75EF" w14:textId="77777777" w:rsidR="0095741D" w:rsidRDefault="0095741D" w:rsidP="0095741D">
      <w:pPr>
        <w:pStyle w:val="a0"/>
        <w:spacing w:after="0"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（六）提供对投标文件的真实性承诺及投标人资格声明函；</w:t>
      </w:r>
    </w:p>
    <w:p w14:paraId="07153FF9" w14:textId="77777777" w:rsidR="0095741D" w:rsidRDefault="0095741D" w:rsidP="0095741D">
      <w:pPr>
        <w:pStyle w:val="a0"/>
        <w:spacing w:after="0" w:line="560" w:lineRule="exact"/>
        <w:ind w:firstLineChars="200" w:firstLine="640"/>
      </w:pPr>
      <w:r>
        <w:rPr>
          <w:rFonts w:ascii="仿宋_GB2312" w:eastAsia="仿宋_GB2312" w:hAnsi="仿宋" w:hint="eastAsia"/>
          <w:sz w:val="32"/>
          <w:szCs w:val="32"/>
        </w:rPr>
        <w:t>（七）经验范围包含信息化建设工作或曾经中标过党政机关信息化运维服务项目的投标单位优先考虑。</w:t>
      </w:r>
    </w:p>
    <w:p w14:paraId="5543E762"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仿宋" w:cs="仿宋" w:hint="eastAsia"/>
          <w:sz w:val="32"/>
          <w:szCs w:val="32"/>
        </w:rPr>
        <w:t>（八）</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29106FB9" w14:textId="77777777" w:rsidR="0095741D" w:rsidRDefault="0095741D" w:rsidP="0095741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cs="黑体"/>
          <w:spacing w:val="-2"/>
          <w:w w:val="95"/>
          <w:sz w:val="32"/>
        </w:rPr>
      </w:pPr>
      <w:r>
        <w:rPr>
          <w:rFonts w:ascii="黑体" w:eastAsia="黑体" w:hAnsi="黑体" w:cs="黑体"/>
          <w:spacing w:val="-2"/>
          <w:w w:val="95"/>
          <w:sz w:val="32"/>
        </w:rPr>
        <w:t>五、评标定标方法</w:t>
      </w:r>
    </w:p>
    <w:p w14:paraId="769ACCDE" w14:textId="77777777" w:rsidR="0095741D" w:rsidRDefault="0095741D" w:rsidP="0095741D">
      <w:pPr>
        <w:spacing w:line="56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采用票决法。</w:t>
      </w:r>
    </w:p>
    <w:p w14:paraId="2BB2577C" w14:textId="77777777" w:rsidR="0095741D" w:rsidRDefault="0095741D" w:rsidP="0095741D">
      <w:pPr>
        <w:spacing w:line="560" w:lineRule="exact"/>
        <w:ind w:firstLineChars="200" w:firstLine="597"/>
        <w:rPr>
          <w:rFonts w:ascii="黑体" w:eastAsia="黑体" w:hAnsi="黑体" w:cs="黑体" w:hint="eastAsia"/>
          <w:spacing w:val="-2"/>
          <w:w w:val="95"/>
          <w:sz w:val="32"/>
        </w:rPr>
      </w:pPr>
      <w:r>
        <w:rPr>
          <w:rFonts w:ascii="黑体" w:eastAsia="黑体" w:hAnsi="黑体" w:cs="黑体" w:hint="eastAsia"/>
          <w:spacing w:val="-2"/>
          <w:w w:val="95"/>
          <w:sz w:val="32"/>
        </w:rPr>
        <w:t>六、商务需求</w:t>
      </w:r>
    </w:p>
    <w:p w14:paraId="73D30D2E" w14:textId="77777777" w:rsidR="0095741D" w:rsidRDefault="0095741D" w:rsidP="0095741D">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t>（一）</w:t>
      </w:r>
      <w:r>
        <w:rPr>
          <w:rFonts w:ascii="仿宋_GB2312" w:eastAsia="仿宋_GB2312" w:hAnsi="仿宋_GB2312" w:cs="仿宋_GB2312" w:hint="eastAsia"/>
          <w:sz w:val="32"/>
          <w:szCs w:val="32"/>
        </w:rPr>
        <w:t>服务期：此项目为长期服务项目，服务期为一年。</w:t>
      </w:r>
      <w:proofErr w:type="gramStart"/>
      <w:r>
        <w:rPr>
          <w:rFonts w:ascii="仿宋_GB2312" w:eastAsia="仿宋_GB2312" w:hAnsi="仿宋_GB2312" w:cs="仿宋_GB2312" w:hint="eastAsia"/>
          <w:sz w:val="32"/>
          <w:szCs w:val="32"/>
        </w:rPr>
        <w:t>项目结项时</w:t>
      </w:r>
      <w:proofErr w:type="gramEnd"/>
      <w:r>
        <w:rPr>
          <w:rFonts w:ascii="仿宋_GB2312" w:eastAsia="仿宋_GB2312" w:hAnsi="仿宋_GB2312" w:cs="仿宋_GB2312" w:hint="eastAsia"/>
          <w:sz w:val="32"/>
          <w:szCs w:val="32"/>
        </w:rPr>
        <w:t>根据验收情况及工作需要，可延长服务期限，合同一年一签，但最长不超过3年。</w:t>
      </w:r>
    </w:p>
    <w:p w14:paraId="02AD9573" w14:textId="77777777" w:rsidR="0095741D" w:rsidRDefault="0095741D" w:rsidP="0095741D">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lastRenderedPageBreak/>
        <w:t>（二）</w:t>
      </w:r>
      <w:r>
        <w:rPr>
          <w:rFonts w:ascii="仿宋_GB2312" w:eastAsia="仿宋_GB2312" w:hAnsi="仿宋_GB2312" w:cs="仿宋_GB2312" w:hint="eastAsia"/>
          <w:sz w:val="32"/>
          <w:szCs w:val="32"/>
        </w:rPr>
        <w:t>服务地点：深圳市罗湖区笋岗东路3012号中民时代广场B座12楼深圳市残疾人联合会。</w:t>
      </w:r>
    </w:p>
    <w:p w14:paraId="584B1A71" w14:textId="77777777" w:rsidR="0095741D" w:rsidRDefault="0095741D" w:rsidP="0095741D">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 w:cs="仿宋" w:hint="eastAsia"/>
          <w:sz w:val="32"/>
          <w:szCs w:val="32"/>
        </w:rPr>
        <w:t>（三）</w:t>
      </w:r>
      <w:r>
        <w:rPr>
          <w:rFonts w:ascii="仿宋_GB2312" w:eastAsia="仿宋_GB2312" w:hAnsi="仿宋_GB2312" w:cs="仿宋_GB2312" w:hint="eastAsia"/>
          <w:sz w:val="32"/>
          <w:szCs w:val="32"/>
        </w:rPr>
        <w:t>报价要求：</w:t>
      </w:r>
    </w:p>
    <w:p w14:paraId="54424DB3" w14:textId="77777777" w:rsidR="0095741D" w:rsidRDefault="0095741D" w:rsidP="0095741D">
      <w:pPr>
        <w:pStyle w:val="a0"/>
        <w:spacing w:after="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1.本项目预算总金额：人民币</w:t>
      </w:r>
      <w:r>
        <w:rPr>
          <w:rFonts w:ascii="仿宋_GB2312" w:eastAsia="仿宋_GB2312" w:hAnsi="仿宋_GB2312" w:cs="仿宋_GB2312" w:hint="eastAsia"/>
          <w:sz w:val="32"/>
          <w:szCs w:val="32"/>
          <w:u w:val="single"/>
        </w:rPr>
        <w:t xml:space="preserve"> 198000 </w:t>
      </w:r>
      <w:r>
        <w:rPr>
          <w:rFonts w:ascii="仿宋_GB2312" w:eastAsia="仿宋_GB2312" w:hAnsi="仿宋_GB2312" w:cs="仿宋_GB2312" w:hint="eastAsia"/>
          <w:sz w:val="32"/>
          <w:szCs w:val="32"/>
        </w:rPr>
        <w:t>元。</w:t>
      </w:r>
    </w:p>
    <w:p w14:paraId="0EABA50C"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2.本项目服务费采用包干制，应包括服务成本、法定税费和企业的利润。由投标供应商根据采购文件所提供的资料自行测算投标报价；一经中标，报价总价作为中标供应商与采购人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69E768BE"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3.投标供应商应当根据本企业的成本自行决定报价，但不得以低于其企业成本的报价投标。</w:t>
      </w:r>
    </w:p>
    <w:p w14:paraId="6DAA2161"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4.投标供应商的报价不得超过项目预算金额。</w:t>
      </w:r>
    </w:p>
    <w:p w14:paraId="32CF76B5"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5.投标供应商的报价，应当是本项目采购范围和采购文件及合同条款上所列的各项内容中所述的全部，不得以任何理由予以重复。</w:t>
      </w:r>
    </w:p>
    <w:p w14:paraId="5C09C9F4" w14:textId="77777777" w:rsidR="0095741D" w:rsidRDefault="0095741D" w:rsidP="0095741D">
      <w:pPr>
        <w:widowControl/>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6.除非采购人通过修改采购文件予以更正，否则，投标供应商应毫无例外地按响应文件所列的清单</w:t>
      </w:r>
      <w:proofErr w:type="gramStart"/>
      <w:r>
        <w:rPr>
          <w:rFonts w:ascii="仿宋_GB2312" w:eastAsia="仿宋_GB2312" w:hAnsi="华文仿宋" w:hint="eastAsia"/>
          <w:sz w:val="32"/>
          <w:szCs w:val="32"/>
        </w:rPr>
        <w:t>中项目</w:t>
      </w:r>
      <w:proofErr w:type="gramEnd"/>
      <w:r>
        <w:rPr>
          <w:rFonts w:ascii="仿宋_GB2312" w:eastAsia="仿宋_GB2312" w:hAnsi="华文仿宋" w:hint="eastAsia"/>
          <w:sz w:val="32"/>
          <w:szCs w:val="32"/>
        </w:rPr>
        <w:t>和数量填报价格。</w:t>
      </w:r>
    </w:p>
    <w:p w14:paraId="7E958B6D" w14:textId="77777777" w:rsidR="0095741D" w:rsidRDefault="0095741D" w:rsidP="0095741D">
      <w:pPr>
        <w:pStyle w:val="a0"/>
        <w:spacing w:after="0" w:line="560" w:lineRule="exact"/>
        <w:ind w:firstLineChars="200" w:firstLine="640"/>
      </w:pPr>
      <w:r>
        <w:rPr>
          <w:rFonts w:ascii="仿宋_GB2312" w:eastAsia="仿宋_GB2312" w:hAnsi="仿宋_GB2312" w:cs="仿宋_GB2312" w:hint="eastAsia"/>
          <w:sz w:val="32"/>
          <w:szCs w:val="32"/>
        </w:rPr>
        <w:t>（四）保密要求：</w:t>
      </w:r>
      <w:r>
        <w:rPr>
          <w:rFonts w:ascii="仿宋_GB2312" w:eastAsia="仿宋_GB2312" w:hAnsi="华文仿宋" w:hint="eastAsia"/>
          <w:sz w:val="32"/>
          <w:szCs w:val="32"/>
        </w:rPr>
        <w:t>驻点工作人员</w:t>
      </w:r>
      <w:proofErr w:type="gramStart"/>
      <w:r>
        <w:rPr>
          <w:rFonts w:ascii="仿宋_GB2312" w:eastAsia="仿宋_GB2312" w:hAnsi="华文仿宋" w:hint="eastAsia"/>
          <w:sz w:val="32"/>
          <w:szCs w:val="32"/>
        </w:rPr>
        <w:t>须</w:t>
      </w:r>
      <w:r>
        <w:rPr>
          <w:rFonts w:ascii="仿宋_GB2312" w:eastAsia="仿宋_GB2312" w:hAnsi="仿宋_GB2312" w:cs="仿宋_GB2312" w:hint="eastAsia"/>
          <w:sz w:val="32"/>
          <w:szCs w:val="32"/>
        </w:rPr>
        <w:t>签署</w:t>
      </w:r>
      <w:proofErr w:type="gramEnd"/>
      <w:r>
        <w:rPr>
          <w:rFonts w:ascii="仿宋_GB2312" w:eastAsia="仿宋_GB2312" w:hAnsi="仿宋_GB2312" w:cs="仿宋_GB2312" w:hint="eastAsia"/>
          <w:sz w:val="32"/>
          <w:szCs w:val="32"/>
        </w:rPr>
        <w:t>保密协议，保守本单位的秘密,除法律规定和本单位授权同意外,不得私自向外界提供或者泄露本单位的信息化相关信息等。</w:t>
      </w:r>
    </w:p>
    <w:p w14:paraId="4A12C31E" w14:textId="77777777" w:rsidR="0095741D" w:rsidRDefault="0095741D" w:rsidP="0095741D">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（五）付款方式：具体按照合同签订时双方约定付款方式。</w:t>
      </w:r>
    </w:p>
    <w:p w14:paraId="4CD42CBD" w14:textId="77777777" w:rsidR="0095741D" w:rsidRDefault="0095741D" w:rsidP="0095741D">
      <w:pPr>
        <w:pStyle w:val="a0"/>
        <w:spacing w:after="0" w:line="560" w:lineRule="exact"/>
        <w:ind w:firstLineChars="200" w:firstLine="640"/>
      </w:pPr>
      <w:r>
        <w:rPr>
          <w:rFonts w:ascii="仿宋_GB2312" w:eastAsia="仿宋_GB2312" w:hAnsi="仿宋" w:cs="仿宋" w:hint="eastAsia"/>
          <w:sz w:val="32"/>
          <w:szCs w:val="32"/>
        </w:rPr>
        <w:t>（六）验收方式：具体按照合同和采购文件约定的要求和标准进行验收。</w:t>
      </w:r>
    </w:p>
    <w:p w14:paraId="02C53C82" w14:textId="77777777" w:rsidR="0095741D" w:rsidRDefault="0095741D" w:rsidP="0095741D">
      <w:pPr>
        <w:widowControl/>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（七）违约责任：以合同签订的违约责任确定。</w:t>
      </w:r>
    </w:p>
    <w:p w14:paraId="09DCE200" w14:textId="77777777" w:rsidR="00D00EB4" w:rsidRPr="0095741D" w:rsidRDefault="00D00EB4">
      <w:pPr>
        <w:rPr>
          <w:rFonts w:hint="eastAsia"/>
        </w:rPr>
      </w:pPr>
    </w:p>
    <w:sectPr w:rsidR="00D00EB4" w:rsidRPr="00957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3E7BBE"/>
    <w:multiLevelType w:val="singleLevel"/>
    <w:tmpl w:val="C73E7BBE"/>
    <w:lvl w:ilvl="0">
      <w:start w:val="1"/>
      <w:numFmt w:val="decimal"/>
      <w:suff w:val="space"/>
      <w:lvlText w:val="%1."/>
      <w:lvlJc w:val="left"/>
    </w:lvl>
  </w:abstractNum>
  <w:num w:numId="1" w16cid:durableId="1901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1D"/>
    <w:rsid w:val="0095741D"/>
    <w:rsid w:val="00A64903"/>
    <w:rsid w:val="00D0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D7E0"/>
  <w15:chartTrackingRefBased/>
  <w15:docId w15:val="{582BB2E4-A432-4EBD-BC82-B7339D3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5741D"/>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sid w:val="0095741D"/>
    <w:pPr>
      <w:spacing w:after="120"/>
    </w:pPr>
  </w:style>
  <w:style w:type="character" w:customStyle="1" w:styleId="a4">
    <w:name w:val="正文文本 字符"/>
    <w:basedOn w:val="a1"/>
    <w:link w:val="a0"/>
    <w:rsid w:val="0095741D"/>
    <w:rPr>
      <w:szCs w:val="24"/>
    </w:rPr>
  </w:style>
  <w:style w:type="paragraph" w:customStyle="1" w:styleId="1">
    <w:name w:val="列表段落1"/>
    <w:basedOn w:val="a"/>
    <w:uiPriority w:val="1"/>
    <w:unhideWhenUsed/>
    <w:qFormat/>
    <w:rsid w:val="0095741D"/>
    <w:pPr>
      <w:spacing w:before="2"/>
      <w:ind w:left="960" w:right="980" w:firstLine="640"/>
    </w:pPr>
    <w:rPr>
      <w:rFonts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2024-12-03T02:30:00Z</dcterms:created>
  <dcterms:modified xsi:type="dcterms:W3CDTF">2024-12-03T02:31:00Z</dcterms:modified>
</cp:coreProperties>
</file>